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72" w:type="dxa"/>
          <w:left w:w="288" w:type="dxa"/>
          <w:bottom w:w="172" w:type="dxa"/>
          <w:right w:w="288" w:type="dxa"/>
        </w:tblCellMar>
        <w:tblLook w:firstColumn="1" w:firstRow="1" w:lastColumn="0" w:lastRow="0" w:noHBand="0" w:noVBand="1" w:val="04A0"/>
      </w:tblPr>
      <w:tblGrid>
        <w:gridCol w:w="9504"/>
        <w:gridCol w:w="4896"/>
      </w:tblGrid>
      <w:tr>
        <w:tc>
          <w:tcPr>
            <w:tcW w:type="dxa" w:w="9504"/>
            <w:shd w:val="clear" w:color="auto" w:fill="2F3E46"/>
          </w:tcPr>
          <w:p>
            <w:pPr>
              <w:spacing w:before="0" w:after="0"/>
              <w:jc w:val="left"/>
            </w:pPr>
            <w:r>
              <w:rPr>
                <w:b/>
                <w:color w:val="F4A259"/>
                <w:spacing w:val="60"/>
                <w:sz w:val="18"/>
              </w:rPr>
              <w:t>HEALTH &amp; SAFETY</w:t>
            </w:r>
          </w:p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44"/>
              </w:rPr>
              <w:t>Risk Assessment Form</w:t>
            </w:r>
          </w:p>
        </w:tc>
        <w:tc>
          <w:tcPr>
            <w:tcW w:type="dxa" w:w="4896"/>
            <w:shd w:val="clear" w:color="auto" w:fill="F4A259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F3E46"/>
                <w:sz w:val="20"/>
              </w:rPr>
              <w:t>Assessment No.  RA-2026-018</w:t>
            </w:r>
          </w:p>
          <w:p>
            <w:pPr>
              <w:spacing w:before="0" w:after="0"/>
              <w:jc w:val="left"/>
            </w:pPr>
            <w:r>
              <w:rPr>
                <w:color w:val="2F3E46"/>
                <w:sz w:val="19"/>
              </w:rPr>
              <w:t>Review date:  May 2027</w:t>
            </w:r>
          </w:p>
        </w:tc>
      </w:tr>
    </w:tbl>
    <w:p>
      <w:pPr>
        <w:spacing w:before="0" w:after="0" w:line="100" w:lineRule="exact"/>
        <w:jc w:val="left"/>
        <w:rPr>
          <w:sz w:val="8"/>
        </w:rPr>
      </w:pPr>
      <w:r>
        <w:rPr>
          <w:sz w:val="8"/>
        </w:rPr>
      </w:r>
    </w:p>
    <w:tbl>
      <w:tblPr>
        <w:tblW w:w="14544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1800"/>
        <w:gridCol w:w="3744"/>
        <w:gridCol w:w="1512"/>
        <w:gridCol w:w="2736"/>
        <w:gridCol w:w="1152"/>
        <w:gridCol w:w="3600"/>
      </w:tblGrid>
      <w:tr>
        <w:trPr>
          <w:trHeight w:val="389" w:hRule="atLeast"/>
          <w:cantSplit/>
        </w:trPr>
        <w:tc>
          <w:tcPr>
            <w:tcW w:type="dxa" w:w="1800"/>
            <w:shd w:val="clear" w:color="auto" w:fill="F1F3F4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F3E46"/>
                <w:sz w:val="17"/>
              </w:rPr>
              <w:t>Company / Site</w:t>
            </w:r>
          </w:p>
        </w:tc>
        <w:tc>
          <w:tcPr>
            <w:tcW w:type="dxa" w:w="374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Your Company — Main Warehouse</w:t>
            </w:r>
          </w:p>
        </w:tc>
        <w:tc>
          <w:tcPr>
            <w:tcW w:type="dxa" w:w="1512"/>
            <w:shd w:val="clear" w:color="auto" w:fill="F1F3F4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F3E46"/>
                <w:sz w:val="17"/>
              </w:rPr>
              <w:t>Assessed by</w:t>
            </w:r>
          </w:p>
        </w:tc>
        <w:tc>
          <w:tcPr>
            <w:tcW w:type="dxa" w:w="2736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Facilities Manager</w:t>
            </w:r>
          </w:p>
        </w:tc>
        <w:tc>
          <w:tcPr>
            <w:tcW w:type="dxa" w:w="1152"/>
            <w:shd w:val="clear" w:color="auto" w:fill="F1F3F4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F3E46"/>
                <w:sz w:val="17"/>
              </w:rPr>
              <w:t>Date</w:t>
            </w:r>
          </w:p>
        </w:tc>
        <w:tc>
          <w:tcPr>
            <w:tcW w:type="dxa" w:w="360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November 4, 2026</w:t>
            </w:r>
          </w:p>
        </w:tc>
      </w:tr>
      <w:tr>
        <w:trPr>
          <w:trHeight w:val="389" w:hRule="atLeast"/>
          <w:cantSplit/>
        </w:trPr>
        <w:tc>
          <w:tcPr>
            <w:tcW w:type="dxa" w:w="1800"/>
            <w:shd w:val="clear" w:color="auto" w:fill="F1F3F4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F3E46"/>
                <w:sz w:val="17"/>
              </w:rPr>
              <w:t>Activity / Area</w:t>
            </w:r>
          </w:p>
        </w:tc>
        <w:tc>
          <w:tcPr>
            <w:tcW w:type="dxa" w:w="374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Loading dock and storage racking</w:t>
            </w:r>
          </w:p>
        </w:tc>
        <w:tc>
          <w:tcPr>
            <w:tcW w:type="dxa" w:w="1512"/>
            <w:shd w:val="clear" w:color="auto" w:fill="F1F3F4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F3E46"/>
                <w:sz w:val="17"/>
              </w:rPr>
              <w:t>People at risk</w:t>
            </w:r>
          </w:p>
        </w:tc>
        <w:tc>
          <w:tcPr>
            <w:tcW w:type="dxa" w:w="2736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Staff, drivers, visitors</w:t>
            </w:r>
          </w:p>
        </w:tc>
        <w:tc>
          <w:tcPr>
            <w:tcW w:type="dxa" w:w="1152"/>
            <w:shd w:val="clear" w:color="auto" w:fill="F1F3F4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2F3E46"/>
                <w:sz w:val="17"/>
              </w:rPr>
              <w:t>Approved by</w:t>
            </w:r>
          </w:p>
        </w:tc>
        <w:tc>
          <w:tcPr>
            <w:tcW w:type="dxa" w:w="3600"/>
            <w:vAlign w:val="center"/>
          </w:tcPr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4544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432"/>
        <w:gridCol w:w="2088"/>
        <w:gridCol w:w="2448"/>
        <w:gridCol w:w="2808"/>
        <w:gridCol w:w="460"/>
        <w:gridCol w:w="460"/>
        <w:gridCol w:w="792"/>
        <w:gridCol w:w="2880"/>
        <w:gridCol w:w="1080"/>
        <w:gridCol w:w="1094"/>
      </w:tblGrid>
      <w:tr>
        <w:tc>
          <w:tcPr>
            <w:tcW w:type="dxa" w:w="432"/>
            <w:shd w:val="clear" w:color="auto" w:fill="2F3E4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type="dxa" w:w="2088"/>
            <w:shd w:val="clear" w:color="auto" w:fill="2F3E46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7"/>
              </w:rPr>
              <w:t>Hazard</w:t>
            </w:r>
          </w:p>
        </w:tc>
        <w:tc>
          <w:tcPr>
            <w:tcW w:type="dxa" w:w="2448"/>
            <w:shd w:val="clear" w:color="auto" w:fill="2F3E46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7"/>
              </w:rPr>
              <w:t>Who might be harmed &amp; how</w:t>
            </w:r>
          </w:p>
        </w:tc>
        <w:tc>
          <w:tcPr>
            <w:tcW w:type="dxa" w:w="2808"/>
            <w:shd w:val="clear" w:color="auto" w:fill="2F3E46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7"/>
              </w:rPr>
              <w:t>Existing controls</w:t>
            </w:r>
          </w:p>
        </w:tc>
        <w:tc>
          <w:tcPr>
            <w:tcW w:type="dxa" w:w="461"/>
            <w:shd w:val="clear" w:color="auto" w:fill="2F3E4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7"/>
              </w:rPr>
              <w:t>L</w:t>
            </w:r>
          </w:p>
        </w:tc>
        <w:tc>
          <w:tcPr>
            <w:tcW w:type="dxa" w:w="461"/>
            <w:shd w:val="clear" w:color="auto" w:fill="2F3E4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7"/>
              </w:rPr>
              <w:t>S</w:t>
            </w:r>
          </w:p>
        </w:tc>
        <w:tc>
          <w:tcPr>
            <w:tcW w:type="dxa" w:w="792"/>
            <w:shd w:val="clear" w:color="auto" w:fill="2F3E4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7"/>
              </w:rPr>
              <w:t>Risk</w:t>
            </w:r>
          </w:p>
        </w:tc>
        <w:tc>
          <w:tcPr>
            <w:tcW w:type="dxa" w:w="2880"/>
            <w:shd w:val="clear" w:color="auto" w:fill="2F3E46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7"/>
              </w:rPr>
              <w:t>Further action needed</w:t>
            </w:r>
          </w:p>
        </w:tc>
        <w:tc>
          <w:tcPr>
            <w:tcW w:type="dxa" w:w="1080"/>
            <w:shd w:val="clear" w:color="auto" w:fill="2F3E46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7"/>
              </w:rPr>
              <w:t>Owner</w:t>
            </w:r>
          </w:p>
        </w:tc>
        <w:tc>
          <w:tcPr>
            <w:tcW w:type="dxa" w:w="1094"/>
            <w:shd w:val="clear" w:color="auto" w:fill="2F3E46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7"/>
              </w:rPr>
              <w:t>Due</w:t>
            </w:r>
          </w:p>
        </w:tc>
      </w:tr>
      <w:tr>
        <w:trPr>
          <w:trHeight w:val="605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7"/>
              </w:rPr>
              <w:t>1</w:t>
            </w:r>
          </w:p>
        </w:tc>
        <w:tc>
          <w:tcPr>
            <w:tcW w:type="dxa" w:w="208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Forklift collision with pedestrians</w:t>
            </w:r>
          </w:p>
        </w:tc>
        <w:tc>
          <w:tcPr>
            <w:tcW w:type="dxa" w:w="244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Staff and visitors — serious crush injuries</w:t>
            </w:r>
          </w:p>
        </w:tc>
        <w:tc>
          <w:tcPr>
            <w:tcW w:type="dxa" w:w="280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Marked walkways; trained, licensed drivers</w:t>
            </w:r>
          </w:p>
        </w:tc>
        <w:tc>
          <w:tcPr>
            <w:tcW w:type="dxa" w:w="46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7"/>
              </w:rPr>
              <w:t>3</w:t>
            </w:r>
          </w:p>
        </w:tc>
        <w:tc>
          <w:tcPr>
            <w:tcW w:type="dxa" w:w="46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7"/>
              </w:rPr>
              <w:t>5</w:t>
            </w:r>
          </w:p>
        </w:tc>
        <w:tc>
          <w:tcPr>
            <w:tcW w:type="dxa" w:w="792"/>
            <w:shd w:val="clear" w:color="auto" w:fill="F4B6B6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7"/>
              </w:rPr>
              <w:t>15</w:t>
            </w:r>
          </w:p>
        </w:tc>
        <w:tc>
          <w:tcPr>
            <w:tcW w:type="dxa" w:w="288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Install barriers at dock doors; add mirrors at blind corners</w:t>
            </w:r>
          </w:p>
        </w:tc>
        <w:tc>
          <w:tcPr>
            <w:tcW w:type="dxa" w:w="108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Ops Mgr</w:t>
            </w:r>
          </w:p>
        </w:tc>
        <w:tc>
          <w:tcPr>
            <w:tcW w:type="dxa" w:w="109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7"/>
              </w:rPr>
              <w:t>Dec 15</w:t>
            </w:r>
          </w:p>
        </w:tc>
      </w:tr>
      <w:tr>
        <w:trPr>
          <w:trHeight w:val="605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7"/>
              </w:rPr>
              <w:t>2</w:t>
            </w:r>
          </w:p>
        </w:tc>
        <w:tc>
          <w:tcPr>
            <w:tcW w:type="dxa" w:w="208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Falling stock from high racking</w:t>
            </w:r>
          </w:p>
        </w:tc>
        <w:tc>
          <w:tcPr>
            <w:tcW w:type="dxa" w:w="244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Warehouse staff — head and body injuries</w:t>
            </w:r>
          </w:p>
        </w:tc>
        <w:tc>
          <w:tcPr>
            <w:tcW w:type="dxa" w:w="280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Load limits posted; hard hats in racking aisles</w:t>
            </w:r>
          </w:p>
        </w:tc>
        <w:tc>
          <w:tcPr>
            <w:tcW w:type="dxa" w:w="46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7"/>
              </w:rPr>
              <w:t>2</w:t>
            </w:r>
          </w:p>
        </w:tc>
        <w:tc>
          <w:tcPr>
            <w:tcW w:type="dxa" w:w="46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7"/>
              </w:rPr>
              <w:t>4</w:t>
            </w:r>
          </w:p>
        </w:tc>
        <w:tc>
          <w:tcPr>
            <w:tcW w:type="dxa" w:w="792"/>
            <w:shd w:val="clear" w:color="auto" w:fill="FCE4B6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7"/>
              </w:rPr>
              <w:t>8</w:t>
            </w:r>
          </w:p>
        </w:tc>
        <w:tc>
          <w:tcPr>
            <w:tcW w:type="dxa" w:w="288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Monthly racking inspection; anti-collapse mesh</w:t>
            </w:r>
          </w:p>
        </w:tc>
        <w:tc>
          <w:tcPr>
            <w:tcW w:type="dxa" w:w="108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Facilities</w:t>
            </w:r>
          </w:p>
        </w:tc>
        <w:tc>
          <w:tcPr>
            <w:tcW w:type="dxa" w:w="109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7"/>
              </w:rPr>
              <w:t>Jan 10</w:t>
            </w:r>
          </w:p>
        </w:tc>
      </w:tr>
      <w:tr>
        <w:trPr>
          <w:trHeight w:val="605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7"/>
              </w:rPr>
              <w:t>3</w:t>
            </w:r>
          </w:p>
        </w:tc>
        <w:tc>
          <w:tcPr>
            <w:tcW w:type="dxa" w:w="208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Manual handling of heavy boxes</w:t>
            </w:r>
          </w:p>
        </w:tc>
        <w:tc>
          <w:tcPr>
            <w:tcW w:type="dxa" w:w="244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Pickers — back and shoulder strain</w:t>
            </w:r>
          </w:p>
        </w:tc>
        <w:tc>
          <w:tcPr>
            <w:tcW w:type="dxa" w:w="280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Lifting training at induction</w:t>
            </w:r>
          </w:p>
        </w:tc>
        <w:tc>
          <w:tcPr>
            <w:tcW w:type="dxa" w:w="46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7"/>
              </w:rPr>
              <w:t>3</w:t>
            </w:r>
          </w:p>
        </w:tc>
        <w:tc>
          <w:tcPr>
            <w:tcW w:type="dxa" w:w="46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7"/>
              </w:rPr>
              <w:t>3</w:t>
            </w:r>
          </w:p>
        </w:tc>
        <w:tc>
          <w:tcPr>
            <w:tcW w:type="dxa" w:w="792"/>
            <w:shd w:val="clear" w:color="auto" w:fill="FCE4B6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7"/>
              </w:rPr>
              <w:t>9</w:t>
            </w:r>
          </w:p>
        </w:tc>
        <w:tc>
          <w:tcPr>
            <w:tcW w:type="dxa" w:w="288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Provide trolleys; team lifts over 25 kg</w:t>
            </w:r>
          </w:p>
        </w:tc>
        <w:tc>
          <w:tcPr>
            <w:tcW w:type="dxa" w:w="108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Supervisor</w:t>
            </w:r>
          </w:p>
        </w:tc>
        <w:tc>
          <w:tcPr>
            <w:tcW w:type="dxa" w:w="109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7"/>
              </w:rPr>
              <w:t>Nov 30</w:t>
            </w:r>
          </w:p>
        </w:tc>
      </w:tr>
      <w:tr>
        <w:trPr>
          <w:trHeight w:val="605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7"/>
              </w:rPr>
              <w:t>4</w:t>
            </w:r>
          </w:p>
        </w:tc>
        <w:tc>
          <w:tcPr>
            <w:tcW w:type="dxa" w:w="208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Slips on wet floor near dock</w:t>
            </w:r>
          </w:p>
        </w:tc>
        <w:tc>
          <w:tcPr>
            <w:tcW w:type="dxa" w:w="244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Anyone — sprains, fractures</w:t>
            </w:r>
          </w:p>
        </w:tc>
        <w:tc>
          <w:tcPr>
            <w:tcW w:type="dxa" w:w="280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Wet-floor signs available</w:t>
            </w:r>
          </w:p>
        </w:tc>
        <w:tc>
          <w:tcPr>
            <w:tcW w:type="dxa" w:w="46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7"/>
              </w:rPr>
              <w:t>3</w:t>
            </w:r>
          </w:p>
        </w:tc>
        <w:tc>
          <w:tcPr>
            <w:tcW w:type="dxa" w:w="46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7"/>
              </w:rPr>
              <w:t>2</w:t>
            </w:r>
          </w:p>
        </w:tc>
        <w:tc>
          <w:tcPr>
            <w:tcW w:type="dxa" w:w="792"/>
            <w:shd w:val="clear" w:color="auto" w:fill="FFF2B3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7"/>
              </w:rPr>
              <w:t>6</w:t>
            </w:r>
          </w:p>
        </w:tc>
        <w:tc>
          <w:tcPr>
            <w:tcW w:type="dxa" w:w="288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Anti-slip matting; spill kit at each dock</w:t>
            </w:r>
          </w:p>
        </w:tc>
        <w:tc>
          <w:tcPr>
            <w:tcW w:type="dxa" w:w="1080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Facilities</w:t>
            </w:r>
          </w:p>
        </w:tc>
        <w:tc>
          <w:tcPr>
            <w:tcW w:type="dxa" w:w="1094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7"/>
              </w:rPr>
              <w:t>Nov 20</w:t>
            </w:r>
          </w:p>
        </w:tc>
      </w:tr>
      <w:tr>
        <w:trPr>
          <w:trHeight w:val="605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7"/>
              </w:rPr>
              <w:t>5</w:t>
            </w:r>
          </w:p>
        </w:tc>
        <w:tc>
          <w:tcPr>
            <w:tcW w:type="dxa" w:w="2088"/>
            <w:vAlign w:val="center"/>
          </w:tcPr>
          <w:p/>
        </w:tc>
        <w:tc>
          <w:tcPr>
            <w:tcW w:type="dxa" w:w="2448"/>
            <w:vAlign w:val="center"/>
          </w:tcPr>
          <w:p/>
        </w:tc>
        <w:tc>
          <w:tcPr>
            <w:tcW w:type="dxa" w:w="2808"/>
            <w:vAlign w:val="center"/>
          </w:tcPr>
          <w:p/>
        </w:tc>
        <w:tc>
          <w:tcPr>
            <w:tcW w:type="dxa" w:w="461"/>
            <w:vAlign w:val="center"/>
          </w:tcPr>
          <w:p/>
        </w:tc>
        <w:tc>
          <w:tcPr>
            <w:tcW w:type="dxa" w:w="461"/>
            <w:vAlign w:val="center"/>
          </w:tcPr>
          <w:p/>
        </w:tc>
        <w:tc>
          <w:tcPr>
            <w:tcW w:type="dxa" w:w="792"/>
            <w:vAlign w:val="center"/>
          </w:tcPr>
          <w:p/>
        </w:tc>
        <w:tc>
          <w:tcPr>
            <w:tcW w:type="dxa" w:w="2880"/>
            <w:vAlign w:val="center"/>
          </w:tcPr>
          <w:p/>
        </w:tc>
        <w:tc>
          <w:tcPr>
            <w:tcW w:type="dxa" w:w="1080"/>
            <w:vAlign w:val="center"/>
          </w:tcPr>
          <w:p/>
        </w:tc>
        <w:tc>
          <w:tcPr>
            <w:tcW w:type="dxa" w:w="1094"/>
            <w:vAlign w:val="center"/>
          </w:tcPr>
          <w:p/>
        </w:tc>
      </w:tr>
      <w:tr>
        <w:trPr>
          <w:trHeight w:val="605" w:hRule="atLeast"/>
          <w:cantSplit/>
        </w:trPr>
        <w:tc>
          <w:tcPr>
            <w:tcW w:type="dxa" w:w="432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7"/>
              </w:rPr>
              <w:t>6</w:t>
            </w:r>
          </w:p>
        </w:tc>
        <w:tc>
          <w:tcPr>
            <w:tcW w:type="dxa" w:w="2088"/>
            <w:vAlign w:val="center"/>
          </w:tcPr>
          <w:p/>
        </w:tc>
        <w:tc>
          <w:tcPr>
            <w:tcW w:type="dxa" w:w="2448"/>
            <w:vAlign w:val="center"/>
          </w:tcPr>
          <w:p/>
        </w:tc>
        <w:tc>
          <w:tcPr>
            <w:tcW w:type="dxa" w:w="2808"/>
            <w:vAlign w:val="center"/>
          </w:tcPr>
          <w:p/>
        </w:tc>
        <w:tc>
          <w:tcPr>
            <w:tcW w:type="dxa" w:w="461"/>
            <w:vAlign w:val="center"/>
          </w:tcPr>
          <w:p/>
        </w:tc>
        <w:tc>
          <w:tcPr>
            <w:tcW w:type="dxa" w:w="461"/>
            <w:vAlign w:val="center"/>
          </w:tcPr>
          <w:p/>
        </w:tc>
        <w:tc>
          <w:tcPr>
            <w:tcW w:type="dxa" w:w="792"/>
            <w:vAlign w:val="center"/>
          </w:tcPr>
          <w:p/>
        </w:tc>
        <w:tc>
          <w:tcPr>
            <w:tcW w:type="dxa" w:w="2880"/>
            <w:vAlign w:val="center"/>
          </w:tcPr>
          <w:p/>
        </w:tc>
        <w:tc>
          <w:tcPr>
            <w:tcW w:type="dxa" w:w="1080"/>
            <w:vAlign w:val="center"/>
          </w:tcPr>
          <w:p/>
        </w:tc>
        <w:tc>
          <w:tcPr>
            <w:tcW w:type="dxa" w:w="1094"/>
            <w:vAlign w:val="center"/>
          </w:tcPr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44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6623"/>
        <w:gridCol w:w="7776"/>
      </w:tblGrid>
      <w:tr>
        <w:tc>
          <w:tcPr>
            <w:tcW w:type="dxa" w:w="6624"/>
          </w:tcPr>
          <w:p>
            <w:pPr>
              <w:spacing w:before="0" w:after="40"/>
              <w:jc w:val="left"/>
            </w:pPr>
            <w:r>
              <w:rPr>
                <w:b/>
                <w:color w:val="2F3E46"/>
                <w:sz w:val="18"/>
              </w:rPr>
              <w:t>RISK MATRIX  (Risk = Likelihood × Severity)</w:t>
            </w:r>
          </w:p>
          <w:tbl>
            <w:tblPr>
              <w:tblW w:w="6048" w:type="dxa"/>
              <w:jc w:val="center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CellMar>
                <w:top w:w="14" w:type="dxa"/>
                <w:left w:w="43" w:type="dxa"/>
                <w:bottom w:w="14" w:type="dxa"/>
                <w:right w:w="43" w:type="dxa"/>
              </w:tblCellMar>
              <w:tblLook w:firstColumn="1" w:firstRow="1" w:lastColumn="0" w:lastRow="0" w:noHBand="0" w:noVBand="1" w:val="04A0"/>
            </w:tblPr>
            <w:tblGrid>
              <w:gridCol w:w="1584"/>
              <w:gridCol w:w="892"/>
              <w:gridCol w:w="892"/>
              <w:gridCol w:w="892"/>
              <w:gridCol w:w="892"/>
              <w:gridCol w:w="892"/>
            </w:tblGrid>
            <w:tr>
              <w:tc>
                <w:tcPr>
                  <w:tcW w:type="dxa" w:w="1584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2F3E46"/>
                      <w:sz w:val="14"/>
                    </w:rPr>
                    <w:t>Likelihood ↓ / Severity →</w:t>
                  </w:r>
                </w:p>
              </w:tc>
              <w:tc>
                <w:tcPr>
                  <w:tcW w:type="dxa" w:w="893"/>
                  <w:shd w:val="clear" w:color="auto" w:fill="D9D9D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893"/>
                  <w:shd w:val="clear" w:color="auto" w:fill="D9D9D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893"/>
                  <w:shd w:val="clear" w:color="auto" w:fill="D9D9D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893"/>
                  <w:shd w:val="clear" w:color="auto" w:fill="D9D9D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893"/>
                  <w:shd w:val="clear" w:color="auto" w:fill="D9D9D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sz w:val="16"/>
                    </w:rPr>
                    <w:t>5</w:t>
                  </w:r>
                </w:p>
              </w:tc>
            </w:tr>
            <w:tr>
              <w:tc>
                <w:tcPr>
                  <w:tcW w:type="dxa" w:w="1584"/>
                  <w:shd w:val="clear" w:color="auto" w:fill="D9D9D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893"/>
                  <w:shd w:val="clear" w:color="auto" w:fill="FFF2B3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5</w:t>
                  </w:r>
                </w:p>
              </w:tc>
              <w:tc>
                <w:tcPr>
                  <w:tcW w:type="dxa" w:w="893"/>
                  <w:shd w:val="clear" w:color="auto" w:fill="FCD5A8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10</w:t>
                  </w:r>
                </w:p>
              </w:tc>
              <w:tc>
                <w:tcPr>
                  <w:tcW w:type="dxa" w:w="893"/>
                  <w:shd w:val="clear" w:color="auto" w:fill="F4B6B6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15</w:t>
                  </w:r>
                </w:p>
              </w:tc>
              <w:tc>
                <w:tcPr>
                  <w:tcW w:type="dxa" w:w="893"/>
                  <w:shd w:val="clear" w:color="auto" w:fill="F4B6B6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20</w:t>
                  </w:r>
                </w:p>
              </w:tc>
              <w:tc>
                <w:tcPr>
                  <w:tcW w:type="dxa" w:w="893"/>
                  <w:shd w:val="clear" w:color="auto" w:fill="F4B6B6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25</w:t>
                  </w:r>
                </w:p>
              </w:tc>
            </w:tr>
            <w:tr>
              <w:tc>
                <w:tcPr>
                  <w:tcW w:type="dxa" w:w="1584"/>
                  <w:shd w:val="clear" w:color="auto" w:fill="D9D9D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893"/>
                  <w:shd w:val="clear" w:color="auto" w:fill="C6E7C6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type="dxa" w:w="893"/>
                  <w:shd w:val="clear" w:color="auto" w:fill="FFF2B3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type="dxa" w:w="893"/>
                  <w:shd w:val="clear" w:color="auto" w:fill="FCD5A8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type="dxa" w:w="893"/>
                  <w:shd w:val="clear" w:color="auto" w:fill="F4B6B6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16</w:t>
                  </w:r>
                </w:p>
              </w:tc>
              <w:tc>
                <w:tcPr>
                  <w:tcW w:type="dxa" w:w="893"/>
                  <w:shd w:val="clear" w:color="auto" w:fill="F4B6B6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20</w:t>
                  </w:r>
                </w:p>
              </w:tc>
            </w:tr>
            <w:tr>
              <w:tc>
                <w:tcPr>
                  <w:tcW w:type="dxa" w:w="1584"/>
                  <w:shd w:val="clear" w:color="auto" w:fill="D9D9D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893"/>
                  <w:shd w:val="clear" w:color="auto" w:fill="C6E7C6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type="dxa" w:w="893"/>
                  <w:shd w:val="clear" w:color="auto" w:fill="FFF2B3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6</w:t>
                  </w:r>
                </w:p>
              </w:tc>
              <w:tc>
                <w:tcPr>
                  <w:tcW w:type="dxa" w:w="893"/>
                  <w:shd w:val="clear" w:color="auto" w:fill="FFF2B3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9</w:t>
                  </w:r>
                </w:p>
              </w:tc>
              <w:tc>
                <w:tcPr>
                  <w:tcW w:type="dxa" w:w="893"/>
                  <w:shd w:val="clear" w:color="auto" w:fill="FCD5A8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12</w:t>
                  </w:r>
                </w:p>
              </w:tc>
              <w:tc>
                <w:tcPr>
                  <w:tcW w:type="dxa" w:w="893"/>
                  <w:shd w:val="clear" w:color="auto" w:fill="F4B6B6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15</w:t>
                  </w:r>
                </w:p>
              </w:tc>
            </w:tr>
            <w:tr>
              <w:tc>
                <w:tcPr>
                  <w:tcW w:type="dxa" w:w="1584"/>
                  <w:shd w:val="clear" w:color="auto" w:fill="D9D9D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893"/>
                  <w:shd w:val="clear" w:color="auto" w:fill="C6E7C6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2</w:t>
                  </w:r>
                </w:p>
              </w:tc>
              <w:tc>
                <w:tcPr>
                  <w:tcW w:type="dxa" w:w="893"/>
                  <w:shd w:val="clear" w:color="auto" w:fill="C6E7C6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type="dxa" w:w="893"/>
                  <w:shd w:val="clear" w:color="auto" w:fill="FFF2B3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6</w:t>
                  </w:r>
                </w:p>
              </w:tc>
              <w:tc>
                <w:tcPr>
                  <w:tcW w:type="dxa" w:w="893"/>
                  <w:shd w:val="clear" w:color="auto" w:fill="FFF2B3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8</w:t>
                  </w:r>
                </w:p>
              </w:tc>
              <w:tc>
                <w:tcPr>
                  <w:tcW w:type="dxa" w:w="893"/>
                  <w:shd w:val="clear" w:color="auto" w:fill="FCD5A8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10</w:t>
                  </w:r>
                </w:p>
              </w:tc>
            </w:tr>
            <w:tr>
              <w:tc>
                <w:tcPr>
                  <w:tcW w:type="dxa" w:w="1584"/>
                  <w:shd w:val="clear" w:color="auto" w:fill="D9D9D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893"/>
                  <w:shd w:val="clear" w:color="auto" w:fill="C6E7C6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1</w:t>
                  </w:r>
                </w:p>
              </w:tc>
              <w:tc>
                <w:tcPr>
                  <w:tcW w:type="dxa" w:w="893"/>
                  <w:shd w:val="clear" w:color="auto" w:fill="C6E7C6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2</w:t>
                  </w:r>
                </w:p>
              </w:tc>
              <w:tc>
                <w:tcPr>
                  <w:tcW w:type="dxa" w:w="893"/>
                  <w:shd w:val="clear" w:color="auto" w:fill="C6E7C6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type="dxa" w:w="893"/>
                  <w:shd w:val="clear" w:color="auto" w:fill="C6E7C6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type="dxa" w:w="893"/>
                  <w:shd w:val="clear" w:color="auto" w:fill="FFF2B3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6"/>
                    </w:rPr>
                    <w:t>5</w:t>
                  </w:r>
                </w:p>
              </w:tc>
            </w:tr>
          </w:tbl>
          <w:p/>
        </w:tc>
        <w:tc>
          <w:tcPr>
            <w:tcW w:type="dxa" w:w="7776"/>
          </w:tcPr>
          <w:p>
            <w:pPr>
              <w:spacing w:before="0" w:after="40"/>
              <w:jc w:val="left"/>
            </w:pPr>
            <w:r>
              <w:rPr>
                <w:b/>
                <w:color w:val="2F3E46"/>
                <w:sz w:val="18"/>
              </w:rPr>
              <w:t>KEY</w:t>
            </w:r>
          </w:p>
          <w:p>
            <w:pPr>
              <w:spacing w:before="0" w:after="40"/>
              <w:jc w:val="left"/>
            </w:pPr>
            <w:r>
              <w:rPr>
                <w:rFonts w:ascii="Segoe UI Symbol" w:hAnsi="Segoe UI Symbol" w:cs="Segoe UI Symbol" w:eastAsia="Segoe UI Symbol"/>
                <w:color w:val="C6E7C6"/>
                <w:sz w:val="24"/>
              </w:rPr>
              <w:t xml:space="preserve">■ </w:t>
            </w:r>
            <w:r>
              <w:rPr>
                <w:sz w:val="18"/>
              </w:rPr>
              <w:t>1–4  Low — manage with routine procedures</w:t>
            </w:r>
          </w:p>
          <w:p>
            <w:pPr>
              <w:spacing w:before="0" w:after="40"/>
              <w:jc w:val="left"/>
            </w:pPr>
            <w:r>
              <w:rPr>
                <w:rFonts w:ascii="Segoe UI Symbol" w:hAnsi="Segoe UI Symbol" w:cs="Segoe UI Symbol" w:eastAsia="Segoe UI Symbol"/>
                <w:color w:val="FFF2B3"/>
                <w:sz w:val="24"/>
              </w:rPr>
              <w:t xml:space="preserve">■ </w:t>
            </w:r>
            <w:r>
              <w:rPr>
                <w:sz w:val="18"/>
              </w:rPr>
              <w:t>5–9  Medium — action within 1 month</w:t>
            </w:r>
          </w:p>
          <w:p>
            <w:pPr>
              <w:spacing w:before="0" w:after="40"/>
              <w:jc w:val="left"/>
            </w:pPr>
            <w:r>
              <w:rPr>
                <w:rFonts w:ascii="Segoe UI Symbol" w:hAnsi="Segoe UI Symbol" w:cs="Segoe UI Symbol" w:eastAsia="Segoe UI Symbol"/>
                <w:color w:val="FCD5A8"/>
                <w:sz w:val="24"/>
              </w:rPr>
              <w:t xml:space="preserve">■ </w:t>
            </w:r>
            <w:r>
              <w:rPr>
                <w:sz w:val="18"/>
              </w:rPr>
              <w:t>10–14  High — action within 1 week</w:t>
            </w:r>
          </w:p>
          <w:p>
            <w:pPr>
              <w:spacing w:before="0" w:after="40"/>
              <w:jc w:val="left"/>
            </w:pPr>
            <w:r>
              <w:rPr>
                <w:rFonts w:ascii="Segoe UI Symbol" w:hAnsi="Segoe UI Symbol" w:cs="Segoe UI Symbol" w:eastAsia="Segoe UI Symbol"/>
                <w:color w:val="F4B6B6"/>
                <w:sz w:val="24"/>
              </w:rPr>
              <w:t xml:space="preserve">■ </w:t>
            </w:r>
            <w:r>
              <w:rPr>
                <w:sz w:val="18"/>
              </w:rPr>
              <w:t>15–25  Very high — stop work until controlled</w:t>
            </w:r>
          </w:p>
          <w:p>
            <w:pPr>
              <w:spacing w:before="80" w:after="0"/>
              <w:jc w:val="left"/>
            </w:pPr>
            <w:r>
              <w:rPr>
                <w:color w:val="595959"/>
                <w:sz w:val="17"/>
              </w:rPr>
              <w:t>Likelihood: 1 Rare • 2 Unlikely • 3 Possible • 4 Likely • 5 Almost certain</w:t>
            </w:r>
          </w:p>
          <w:p>
            <w:pPr>
              <w:spacing w:before="0" w:after="0"/>
              <w:jc w:val="left"/>
            </w:pPr>
            <w:r>
              <w:rPr>
                <w:color w:val="595959"/>
                <w:sz w:val="17"/>
              </w:rPr>
              <w:t>Severity: 1 Minor • 2 First aid • 3 Lost time • 4 Major injury • 5 Fatal</w:t>
            </w:r>
          </w:p>
          <w:p>
            <w:pPr>
              <w:spacing w:before="0" w:after="0" w:line="200" w:lineRule="exact"/>
              <w:jc w:val="left"/>
              <w:rPr>
                <w:sz w:val="16"/>
              </w:rPr>
            </w:pPr>
            <w:r>
              <w:rPr>
                <w:sz w:val="16"/>
              </w:rPr>
            </w:r>
          </w:p>
          <w:tbl>
            <w:tblPr>
              <w:tblW w:w="662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216" w:type="dxa"/>
                <w:bottom w:w="0" w:type="dxa"/>
                <w:right w:w="216" w:type="dxa"/>
              </w:tblCellMar>
              <w:tblLook w:firstColumn="1" w:firstRow="1" w:lastColumn="0" w:lastRow="0" w:noHBand="0" w:noVBand="1" w:val="04A0"/>
            </w:tblPr>
            <w:tblGrid>
              <w:gridCol w:w="3311"/>
              <w:gridCol w:w="3311"/>
            </w:tblGrid>
            <w:tr>
              <w:tc>
                <w:tcPr>
                  <w:tcW w:type="dxa" w:w="3312"/>
                </w:tcPr>
                <w:p>
                  <w:pPr>
                    <w:spacing w:before="0" w:after="0" w:line="320" w:lineRule="exact"/>
                    <w:jc w:val="left"/>
                    <w:rPr>
                      <w:sz w:val="25"/>
                    </w:rPr>
                  </w:pPr>
                </w:p>
                <w:p>
                  <w:pPr>
                    <w:pBdr>
                      <w:bottom w:val="single" w:sz="6" w:space="1" w:color="595959"/>
                    </w:pBdr>
                    <w:spacing w:before="0" w:after="0"/>
                    <w:jc w:val="left"/>
                  </w:pPr>
                </w:p>
                <w:p>
                  <w:pPr>
                    <w:spacing w:before="40" w:after="0"/>
                    <w:jc w:val="left"/>
                  </w:pPr>
                  <w:r>
                    <w:rPr>
                      <w:color w:val="595959"/>
                      <w:sz w:val="18"/>
                    </w:rPr>
                    <w:t>Assessor signature / date</w:t>
                  </w:r>
                </w:p>
              </w:tc>
              <w:tc>
                <w:tcPr>
                  <w:tcW w:type="dxa" w:w="3312"/>
                </w:tcPr>
                <w:p>
                  <w:pPr>
                    <w:spacing w:before="0" w:after="0" w:line="320" w:lineRule="exact"/>
                    <w:jc w:val="left"/>
                    <w:rPr>
                      <w:sz w:val="25"/>
                    </w:rPr>
                  </w:pPr>
                </w:p>
                <w:p>
                  <w:pPr>
                    <w:pBdr>
                      <w:bottom w:val="single" w:sz="6" w:space="1" w:color="595959"/>
                    </w:pBdr>
                    <w:spacing w:before="0" w:after="0"/>
                    <w:jc w:val="left"/>
                  </w:pPr>
                </w:p>
                <w:p>
                  <w:pPr>
                    <w:spacing w:before="40" w:after="0"/>
                    <w:jc w:val="left"/>
                  </w:pPr>
                  <w:r>
                    <w:rPr>
                      <w:color w:val="595959"/>
                      <w:sz w:val="18"/>
                    </w:rPr>
                    <w:t>Manager signature / date</w:t>
                  </w:r>
                </w:p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5840" w:h="12240" w:orient="landscape"/>
      <w:pgMar w:top="648" w:right="720" w:bottom="648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Form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