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480"/>
        <w:gridCol w:w="2880"/>
      </w:tblGrid>
      <w:tr>
        <w:tc>
          <w:tcPr>
            <w:tcW w:type="dxa" w:w="6480"/>
          </w:tcPr>
          <w:p>
            <w:pPr>
              <w:spacing w:before="0" w:after="0"/>
              <w:jc w:val="left"/>
            </w:pPr>
            <w:r>
              <w:rPr>
                <w:b/>
                <w:color w:val="1F3864"/>
                <w:sz w:val="26"/>
              </w:rPr>
              <w:t>Your Company Name</w:t>
            </w:r>
          </w:p>
          <w:p>
            <w:pPr>
              <w:spacing w:before="0" w:after="0"/>
              <w:jc w:val="left"/>
            </w:pPr>
            <w:r>
              <w:rPr>
                <w:color w:val="7F7F7F"/>
                <w:sz w:val="17"/>
              </w:rPr>
              <w:t>123 Business Avenue, City, State 00000  •  (000) 000-0000</w:t>
            </w:r>
          </w:p>
        </w:tc>
        <w:tc>
          <w:tcPr>
            <w:tcW w:type="dxa" w:w="2880"/>
          </w:tcPr>
          <w:p>
            <w:pPr>
              <w:spacing w:before="0" w:after="0" w:line="216" w:lineRule="auto"/>
              <w:jc w:val="right"/>
            </w:pPr>
            <w:r>
              <w:rPr>
                <w:b/>
                <w:color w:val="2E75B6"/>
                <w:sz w:val="68"/>
              </w:rPr>
              <w:t>MEMO</w:t>
            </w:r>
          </w:p>
        </w:tc>
      </w:tr>
    </w:tbl>
    <w:p>
      <w:pPr>
        <w:pBdr>
          <w:bottom w:val="single" w:sz="18" w:space="1" w:color="1F3864"/>
        </w:pBdr>
        <w:spacing w:before="120" w:after="200"/>
        <w:jc w:val="left"/>
      </w:pP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2" w:type="dxa"/>
          <w:left w:w="0" w:type="dxa"/>
          <w:bottom w:w="72" w:type="dxa"/>
          <w:right w:w="72" w:type="dxa"/>
        </w:tblCellMar>
        <w:tblLook w:firstColumn="1" w:firstRow="1" w:lastColumn="0" w:lastRow="0" w:noHBand="0" w:noVBand="1" w:val="04A0"/>
      </w:tblPr>
      <w:tblGrid>
        <w:gridCol w:w="1440"/>
        <w:gridCol w:w="7920"/>
      </w:tblGrid>
      <w:t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b/>
                <w:color w:val="1F3864"/>
                <w:sz w:val="21"/>
              </w:rPr>
              <w:t>TO:</w:t>
            </w:r>
          </w:p>
        </w:tc>
        <w:tc>
          <w:tcPr>
            <w:tcW w:type="dxa" w:w="7920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All Sales and Marketing Staff</w:t>
            </w:r>
          </w:p>
        </w:tc>
      </w:tr>
      <w:t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b/>
                <w:color w:val="1F3864"/>
                <w:sz w:val="21"/>
              </w:rPr>
              <w:t>FROM:</w:t>
            </w:r>
          </w:p>
        </w:tc>
        <w:tc>
          <w:tcPr>
            <w:tcW w:type="dxa" w:w="7920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Rachel Adams, Director of Sales</w:t>
            </w:r>
          </w:p>
        </w:tc>
      </w:tr>
      <w:t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b/>
                <w:color w:val="1F3864"/>
                <w:sz w:val="21"/>
              </w:rPr>
              <w:t>CC:</w:t>
            </w:r>
          </w:p>
        </w:tc>
        <w:tc>
          <w:tcPr>
            <w:tcW w:type="dxa" w:w="7920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Finance Department</w:t>
            </w:r>
          </w:p>
        </w:tc>
      </w:tr>
      <w:t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b/>
                <w:color w:val="1F3864"/>
                <w:sz w:val="21"/>
              </w:rPr>
              <w:t>DATE:</w:t>
            </w:r>
          </w:p>
        </w:tc>
        <w:tc>
          <w:tcPr>
            <w:tcW w:type="dxa" w:w="7920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November 9, 2026</w:t>
            </w:r>
          </w:p>
        </w:tc>
      </w:tr>
      <w:tr>
        <w:tc>
          <w:tcPr>
            <w:tcW w:type="dxa" w:w="1440"/>
          </w:tcPr>
          <w:p>
            <w:pPr>
              <w:spacing w:before="0" w:after="0"/>
              <w:jc w:val="left"/>
            </w:pPr>
            <w:r>
              <w:rPr>
                <w:b/>
                <w:color w:val="1F3864"/>
                <w:sz w:val="21"/>
              </w:rPr>
              <w:t>SUBJECT:</w:t>
            </w:r>
          </w:p>
        </w:tc>
        <w:tc>
          <w:tcPr>
            <w:tcW w:type="dxa" w:w="7920"/>
          </w:tcPr>
          <w:p>
            <w:pPr>
              <w:spacing w:before="0" w:after="0"/>
              <w:jc w:val="left"/>
            </w:pPr>
            <w:r>
              <w:rPr>
                <w:color w:val="262626"/>
                <w:sz w:val="21"/>
              </w:rPr>
              <w:t>New Quarterly Sales Targets and Commission Plan</w:t>
            </w:r>
          </w:p>
        </w:tc>
      </w:tr>
    </w:tbl>
    <w:p>
      <w:pPr>
        <w:pBdr>
          <w:bottom w:val="single" w:sz="6" w:space="1" w:color="BFBFBF"/>
        </w:pBdr>
        <w:spacing w:before="160" w:after="240"/>
        <w:jc w:val="left"/>
      </w:pPr>
    </w:p>
    <w:p>
      <w:pPr>
        <w:spacing w:before="0" w:after="160" w:line="312" w:lineRule="auto"/>
        <w:jc w:val="left"/>
      </w:pPr>
      <w:r>
        <w:rPr>
          <w:color w:val="262626"/>
          <w:sz w:val="22"/>
        </w:rPr>
        <w:t>Following our Q3 results review, the leadership team has approved updated sales targets and a revised commission plan that will take effect on January 1, 2027.</w:t>
      </w:r>
    </w:p>
    <w:p>
      <w:pPr>
        <w:spacing w:before="0" w:after="160" w:line="312" w:lineRule="auto"/>
        <w:jc w:val="left"/>
      </w:pPr>
      <w:r>
        <w:rPr>
          <w:color w:val="262626"/>
          <w:sz w:val="22"/>
        </w:rPr>
        <w:t>The main changes are summarized below. Each team member will receive an individual target sheet from their manager by November 20.</w:t>
      </w:r>
    </w:p>
    <w:p>
      <w:pPr>
        <w:spacing w:before="0" w:after="80" w:line="276" w:lineRule="auto"/>
        <w:ind w:left="259" w:hanging="230"/>
        <w:jc w:val="left"/>
      </w:pPr>
      <w:r>
        <w:rPr>
          <w:color w:val="2E75B6"/>
          <w:sz w:val="22"/>
        </w:rPr>
        <w:t xml:space="preserve">•  </w:t>
      </w:r>
      <w:r>
        <w:rPr>
          <w:color w:val="333333"/>
          <w:sz w:val="22"/>
        </w:rPr>
        <w:t>Quarterly team target increases from $1.2M to $1.4M</w:t>
      </w:r>
    </w:p>
    <w:p>
      <w:pPr>
        <w:spacing w:before="0" w:after="80" w:line="276" w:lineRule="auto"/>
        <w:ind w:left="259" w:hanging="230"/>
        <w:jc w:val="left"/>
      </w:pPr>
      <w:r>
        <w:rPr>
          <w:color w:val="2E75B6"/>
          <w:sz w:val="22"/>
        </w:rPr>
        <w:t xml:space="preserve">•  </w:t>
      </w:r>
      <w:r>
        <w:rPr>
          <w:color w:val="333333"/>
          <w:sz w:val="22"/>
        </w:rPr>
        <w:t>Commission rises from 5% to 6% on sales above 100% of target</w:t>
      </w:r>
    </w:p>
    <w:p>
      <w:pPr>
        <w:spacing w:before="0" w:after="80" w:line="276" w:lineRule="auto"/>
        <w:ind w:left="259" w:hanging="230"/>
        <w:jc w:val="left"/>
      </w:pPr>
      <w:r>
        <w:rPr>
          <w:color w:val="2E75B6"/>
          <w:sz w:val="22"/>
        </w:rPr>
        <w:t xml:space="preserve">•  </w:t>
      </w:r>
      <w:r>
        <w:rPr>
          <w:color w:val="333333"/>
          <w:sz w:val="22"/>
        </w:rPr>
        <w:t>A new $500 bonus for each new enterprise account signed</w:t>
      </w:r>
    </w:p>
    <w:p>
      <w:pPr>
        <w:spacing w:before="0" w:after="80" w:line="276" w:lineRule="auto"/>
        <w:ind w:left="259" w:hanging="230"/>
        <w:jc w:val="left"/>
      </w:pPr>
      <w:r>
        <w:rPr>
          <w:color w:val="2E75B6"/>
          <w:sz w:val="22"/>
        </w:rPr>
        <w:t xml:space="preserve">•  </w:t>
      </w:r>
      <w:r>
        <w:rPr>
          <w:color w:val="333333"/>
          <w:sz w:val="22"/>
        </w:rPr>
        <w:t>Targets and payouts will be reviewed every quarter</w:t>
      </w:r>
    </w:p>
    <w:p>
      <w:pPr>
        <w:spacing w:before="160" w:after="160" w:line="312" w:lineRule="auto"/>
        <w:jc w:val="left"/>
      </w:pPr>
      <w:r>
        <w:rPr>
          <w:color w:val="262626"/>
          <w:sz w:val="22"/>
        </w:rPr>
        <w:t>Please review the attached plan document and send any questions to me or your team manager before our sales meeting on Thursday, November 19 at 10:00 AM.</w:t>
      </w:r>
    </w:p>
    <w:p>
      <w:pPr>
        <w:spacing w:before="0" w:after="280"/>
        <w:jc w:val="left"/>
      </w:pPr>
      <w:r>
        <w:rPr>
          <w:color w:val="262626"/>
          <w:sz w:val="22"/>
        </w:rPr>
        <w:t>Thank you for your hard work this year.</w:t>
      </w:r>
    </w:p>
    <w:p>
      <w:pPr>
        <w:spacing w:before="0" w:after="0"/>
        <w:jc w:val="left"/>
      </w:pPr>
      <w:r>
        <w:rPr>
          <w:b/>
          <w:color w:val="1F3864"/>
          <w:sz w:val="22"/>
        </w:rPr>
        <w:t>RA</w:t>
      </w:r>
    </w:p>
    <w:p>
      <w:pPr>
        <w:spacing w:before="320" w:after="0"/>
        <w:jc w:val="left"/>
      </w:pPr>
      <w:r>
        <w:rPr>
          <w:i/>
          <w:color w:val="7F7F7F"/>
          <w:sz w:val="19"/>
        </w:rPr>
        <w:t>Attachment: 2027 Sales Commission Plan (PDF)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1152" w:right="1440" w:bottom="1152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Memo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